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3znysh7" w:id="0"/>
      <w:bookmarkEnd w:id="0"/>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142"/>
        </w:tabs>
        <w:spacing w:after="240" w:before="120" w:line="240" w:lineRule="auto"/>
        <w:ind w:left="360" w:firstLine="0"/>
        <w:jc w:val="both"/>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The Supplier sets out its Framework Prices in Hourly Rates, Day Rates and the Monthly Rates for each Supplier Staff grade in Annex 1 of this Schedule. </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cy8opakjnnz1" w:id="2"/>
      <w:bookmarkEnd w:id="2"/>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Call-Off Contract; and</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 w:val="left" w:pos="2268"/>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pos="709"/>
          <w:tab w:val="left" w:pos="2268"/>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 w:val="left" w:pos="2268"/>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 w:val="left" w:pos="2268"/>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Call-Off Contract and in particular shall only be subject to Indexation where specifically stated in the Order Form; and</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 w:val="left" w:pos="2268"/>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Any variation to the Charges payable under a Call-Off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Call-Off Contracts.</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1fob9te" w:id="4"/>
      <w:bookmarkEnd w:id="4"/>
      <w:r w:rsidDel="00000000" w:rsidR="00000000" w:rsidRPr="00000000">
        <w:rPr>
          <w:rFonts w:ascii="Arial" w:cs="Arial" w:eastAsia="Arial" w:hAnsi="Arial"/>
          <w:b w:val="1"/>
          <w:color w:val="000000"/>
          <w:sz w:val="24"/>
          <w:szCs w:val="24"/>
          <w:rtl w:val="0"/>
        </w:rPr>
        <w:t xml:space="preserve">Are costs and expenses included in the Framework Prices</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pPr>
      <w:r w:rsidDel="00000000" w:rsidR="00000000" w:rsidRPr="00000000">
        <w:rPr>
          <w:rFonts w:ascii="Arial" w:cs="Arial" w:eastAsia="Arial" w:hAnsi="Arial"/>
          <w:sz w:val="24"/>
          <w:szCs w:val="24"/>
          <w:rtl w:val="0"/>
        </w:rPr>
        <w:t xml:space="preserve">The Framework Prices will be fixed for the first two (2) years following the Framework Start Date (the date of expiry of such period is a "Review Date").  After this Framework Prices can only be adjusted on each subsequent yearly anniversary (the date of each such anniversary is also a "Review Date").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pPr>
      <w:r w:rsidDel="00000000" w:rsidR="00000000" w:rsidRPr="00000000">
        <w:rPr>
          <w:rFonts w:ascii="Arial" w:cs="Arial" w:eastAsia="Arial" w:hAnsi="Arial"/>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pPr>
      <w:r w:rsidDel="00000000" w:rsidR="00000000" w:rsidRPr="00000000">
        <w:rPr>
          <w:rFonts w:ascii="Arial" w:cs="Arial" w:eastAsia="Arial" w:hAnsi="Arial"/>
          <w:sz w:val="24"/>
          <w:szCs w:val="24"/>
          <w:rtl w:val="0"/>
        </w:rPr>
        <w:t xml:space="preserve">Any notice requesting an increase shall include:</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985" w:hanging="851"/>
        <w:rPr/>
      </w:pPr>
      <w:r w:rsidDel="00000000" w:rsidR="00000000" w:rsidRPr="00000000">
        <w:rPr>
          <w:rFonts w:ascii="Arial" w:cs="Arial" w:eastAsia="Arial" w:hAnsi="Arial"/>
          <w:sz w:val="24"/>
          <w:szCs w:val="24"/>
          <w:rtl w:val="0"/>
        </w:rPr>
        <w:t xml:space="preserve">a list of the Framework Prices to be reviewed;</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985" w:hanging="851"/>
        <w:rPr/>
      </w:pPr>
      <w:r w:rsidDel="00000000" w:rsidR="00000000" w:rsidRPr="00000000">
        <w:rPr>
          <w:rFonts w:ascii="Arial" w:cs="Arial" w:eastAsia="Arial" w:hAnsi="Arial"/>
          <w:sz w:val="24"/>
          <w:szCs w:val="24"/>
          <w:rtl w:val="0"/>
        </w:rPr>
        <w:t xml:space="preserve">for each Framework Price under review, written evidence of the justification for the requested increase including:</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pos="709"/>
        </w:tabs>
        <w:spacing w:after="120" w:before="120" w:line="240" w:lineRule="auto"/>
        <w:ind w:left="2410" w:hanging="435"/>
        <w:rPr/>
      </w:pPr>
      <w:r w:rsidDel="00000000" w:rsidR="00000000" w:rsidRPr="00000000">
        <w:rPr>
          <w:rFonts w:ascii="Arial" w:cs="Arial" w:eastAsia="Arial" w:hAnsi="Arial"/>
          <w:sz w:val="24"/>
          <w:szCs w:val="24"/>
          <w:rtl w:val="0"/>
        </w:rPr>
        <w:t xml:space="preserve"> a breakdown of the profit and cost components that comprise the relevant Framework Price;</w:t>
      </w:r>
      <w:r w:rsidDel="00000000" w:rsidR="00000000" w:rsidRPr="00000000">
        <w:rPr>
          <w:rtl w:val="0"/>
        </w:rPr>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pos="709"/>
        </w:tabs>
        <w:spacing w:after="120" w:before="120" w:line="240" w:lineRule="auto"/>
        <w:ind w:left="2410" w:hanging="435"/>
        <w:rPr/>
      </w:pPr>
      <w:r w:rsidDel="00000000" w:rsidR="00000000" w:rsidRPr="00000000">
        <w:rPr>
          <w:rFonts w:ascii="Arial" w:cs="Arial" w:eastAsia="Arial" w:hAnsi="Arial"/>
          <w:sz w:val="24"/>
          <w:szCs w:val="24"/>
          <w:rtl w:val="0"/>
        </w:rPr>
        <w:t xml:space="preserve">details of the movement in the different identified cost components of the relevant Framework Price;</w:t>
      </w:r>
      <w:r w:rsidDel="00000000" w:rsidR="00000000" w:rsidRPr="00000000">
        <w:rPr>
          <w:rtl w:val="0"/>
        </w:rPr>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pos="709"/>
        </w:tabs>
        <w:spacing w:after="120" w:before="120" w:line="240" w:lineRule="auto"/>
        <w:ind w:left="2410" w:hanging="435"/>
        <w:rPr/>
      </w:pPr>
      <w:r w:rsidDel="00000000" w:rsidR="00000000" w:rsidRPr="00000000">
        <w:rPr>
          <w:rFonts w:ascii="Arial" w:cs="Arial" w:eastAsia="Arial" w:hAnsi="Arial"/>
          <w:sz w:val="24"/>
          <w:szCs w:val="24"/>
          <w:rtl w:val="0"/>
        </w:rPr>
        <w:t xml:space="preserve">reasons for the movement in the different identified cost components of the relevant Framework Price;</w:t>
      </w:r>
      <w:r w:rsidDel="00000000" w:rsidR="00000000" w:rsidRPr="00000000">
        <w:rPr>
          <w:rtl w:val="0"/>
        </w:rPr>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709"/>
        </w:tabs>
        <w:spacing w:after="120" w:before="120" w:line="240" w:lineRule="auto"/>
        <w:ind w:left="2410" w:hanging="435"/>
        <w:rPr/>
      </w:pPr>
      <w:r w:rsidDel="00000000" w:rsidR="00000000" w:rsidRPr="00000000">
        <w:rPr>
          <w:rFonts w:ascii="Arial" w:cs="Arial" w:eastAsia="Arial" w:hAnsi="Arial"/>
          <w:sz w:val="24"/>
          <w:szCs w:val="24"/>
          <w:rtl w:val="0"/>
        </w:rPr>
        <w:t xml:space="preserve">evidence that the Supplier has attempted to mitigate against the increase in the relevant cost components; and</w:t>
      </w:r>
      <w:r w:rsidDel="00000000" w:rsidR="00000000" w:rsidRPr="00000000">
        <w:rPr>
          <w:rtl w:val="0"/>
        </w:rPr>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pos="709"/>
        </w:tabs>
        <w:spacing w:after="120" w:before="120" w:line="240" w:lineRule="auto"/>
        <w:ind w:left="2410" w:hanging="425"/>
        <w:rPr/>
      </w:pPr>
      <w:r w:rsidDel="00000000" w:rsidR="00000000" w:rsidRPr="00000000">
        <w:rPr>
          <w:rFonts w:ascii="Arial" w:cs="Arial" w:eastAsia="Arial" w:hAnsi="Arial"/>
          <w:sz w:val="24"/>
          <w:szCs w:val="24"/>
          <w:rtl w:val="0"/>
        </w:rPr>
        <w:t xml:space="preserve">evidence that the Supplier’s profit component of the relevant Framework Price is no greater than that applying to Framework Prices using the same Pricing Mechanism as at the Contract Start Date.</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pPr>
      <w:r w:rsidDel="00000000" w:rsidR="00000000" w:rsidRPr="00000000">
        <w:rPr>
          <w:rFonts w:ascii="Arial" w:cs="Arial" w:eastAsia="Arial" w:hAnsi="Arial"/>
          <w:sz w:val="24"/>
          <w:szCs w:val="24"/>
          <w:rtl w:val="0"/>
        </w:rPr>
        <w:t xml:space="preserve">CCS shall consider each request for a price increase.  CCS may grant its prior written consent to an increase at its sole discretion.</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pPr>
      <w:r w:rsidDel="00000000" w:rsidR="00000000" w:rsidRPr="00000000">
        <w:rPr>
          <w:rFonts w:ascii="Arial" w:cs="Arial" w:eastAsia="Arial" w:hAnsi="Arial"/>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709"/>
        </w:tabs>
        <w:spacing w:after="120" w:before="120"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pos="1985"/>
          <w:tab w:val="left" w:pos="2127"/>
          <w:tab w:val="left" w:pos="241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pos="1985"/>
          <w:tab w:val="left" w:pos="2127"/>
          <w:tab w:val="left" w:pos="241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pos="1985"/>
          <w:tab w:val="left" w:pos="2127"/>
          <w:tab w:val="left" w:pos="241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 w:val="left" w:pos="2127"/>
          <w:tab w:val="left" w:pos="241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Additional Training Charge</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42"/>
        </w:tabs>
        <w:spacing w:after="240" w:before="120" w:line="240" w:lineRule="auto"/>
        <w:ind w:left="1276"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5.1</w:t>
        <w:tab/>
        <w:t xml:space="preserve">In accordance with Framework Schedule 1 (Specification), any additional training charge shall be calculated at no more than the Suppliers Hourly Rate for the applicable Supplier Staff as set out in Annex 1 below. </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426" w:hanging="426"/>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Other Costs</w:t>
      </w:r>
      <w:r w:rsidDel="00000000" w:rsidR="00000000" w:rsidRPr="00000000">
        <w:rPr>
          <w:rtl w:val="0"/>
        </w:rPr>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Expenses shall only be recoverable where:</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985"/>
          <w:tab w:val="left" w:pos="1980"/>
          <w:tab w:val="left" w:pos="241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Time and Materials pricing mechanism is used;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1980"/>
          <w:tab w:val="left" w:pos="241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states that recovery is permitted; and</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pos="1985"/>
          <w:tab w:val="left" w:pos="1980"/>
          <w:tab w:val="left" w:pos="241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they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color w:val="000000"/>
          <w:sz w:val="24"/>
          <w:szCs w:val="24"/>
          <w:rtl w:val="0"/>
        </w:rPr>
        <w:t xml:space="preserve"> Expenses and are supported by Supporting Documentation.</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Buyer shall provide a copy of their current Expenses Policy to the Supplier upon request.</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ife2368ni8u2" w:id="6"/>
      <w:bookmarkEnd w:id="6"/>
      <w:r w:rsidDel="00000000" w:rsidR="00000000" w:rsidRPr="00000000">
        <w:rPr>
          <w:rFonts w:ascii="Arial" w:cs="Arial" w:eastAsia="Arial" w:hAnsi="Arial"/>
          <w:color w:val="000000"/>
          <w:sz w:val="24"/>
          <w:szCs w:val="24"/>
          <w:rtl w:val="0"/>
        </w:rPr>
        <w:t xml:space="preserve">Where stated within the Call-Off Order Form, and where the applicable invoice is supported by Supporting Documentation, the Supplier shall be entitled to be paid the following:</w:t>
      </w:r>
    </w:p>
    <w:p w:rsidR="00000000" w:rsidDel="00000000" w:rsidP="00000000" w:rsidRDefault="00000000" w:rsidRPr="00000000" w14:paraId="00000031">
      <w:pPr>
        <w:numPr>
          <w:ilvl w:val="2"/>
          <w:numId w:val="1"/>
        </w:numPr>
        <w:tabs>
          <w:tab w:val="left" w:pos="709"/>
        </w:tabs>
        <w:spacing w:after="240" w:before="240" w:line="240" w:lineRule="auto"/>
        <w:ind w:left="2125" w:hanging="720"/>
        <w:rPr/>
      </w:pPr>
      <w:bookmarkStart w:colFirst="0" w:colLast="0" w:name="_heading=h.3d9hdyumw29t" w:id="7"/>
      <w:bookmarkEnd w:id="7"/>
      <w:r w:rsidDel="00000000" w:rsidR="00000000" w:rsidRPr="00000000">
        <w:rPr>
          <w:rFonts w:ascii="Arial" w:cs="Arial" w:eastAsia="Arial" w:hAnsi="Arial"/>
          <w:color w:val="000000"/>
          <w:sz w:val="24"/>
          <w:szCs w:val="24"/>
          <w:rtl w:val="0"/>
        </w:rPr>
        <w:t xml:space="preserve"> disbursements;</w:t>
      </w:r>
      <w:r w:rsidDel="00000000" w:rsidR="00000000" w:rsidRPr="00000000">
        <w:rPr>
          <w:rtl w:val="0"/>
        </w:rPr>
      </w:r>
    </w:p>
    <w:p w:rsidR="00000000" w:rsidDel="00000000" w:rsidP="00000000" w:rsidRDefault="00000000" w:rsidRPr="00000000" w14:paraId="00000032">
      <w:pPr>
        <w:numPr>
          <w:ilvl w:val="2"/>
          <w:numId w:val="1"/>
        </w:numPr>
        <w:tabs>
          <w:tab w:val="left" w:pos="709"/>
        </w:tabs>
        <w:spacing w:after="240" w:before="240" w:line="240" w:lineRule="auto"/>
        <w:ind w:left="2125" w:hanging="720"/>
        <w:rPr/>
      </w:pPr>
      <w:bookmarkStart w:colFirst="0" w:colLast="0" w:name="_heading=h.4v3llt3peur6" w:id="8"/>
      <w:bookmarkEnd w:id="8"/>
      <w:r w:rsidDel="00000000" w:rsidR="00000000" w:rsidRPr="00000000">
        <w:rPr>
          <w:rFonts w:ascii="Arial" w:cs="Arial" w:eastAsia="Arial" w:hAnsi="Arial"/>
          <w:color w:val="000000"/>
          <w:sz w:val="24"/>
          <w:szCs w:val="24"/>
          <w:rtl w:val="0"/>
        </w:rPr>
        <w:t xml:space="preserve">any additional training charge; and</w:t>
      </w:r>
      <w:r w:rsidDel="00000000" w:rsidR="00000000" w:rsidRPr="00000000">
        <w:rPr>
          <w:rtl w:val="0"/>
        </w:rPr>
      </w:r>
    </w:p>
    <w:p w:rsidR="00000000" w:rsidDel="00000000" w:rsidP="00000000" w:rsidRDefault="00000000" w:rsidRPr="00000000" w14:paraId="00000033">
      <w:pPr>
        <w:numPr>
          <w:ilvl w:val="2"/>
          <w:numId w:val="1"/>
        </w:numPr>
        <w:tabs>
          <w:tab w:val="left" w:pos="709"/>
        </w:tabs>
        <w:spacing w:after="240" w:before="240" w:line="240" w:lineRule="auto"/>
        <w:ind w:left="2125" w:hanging="720"/>
        <w:rPr/>
      </w:pPr>
      <w:bookmarkStart w:colFirst="0" w:colLast="0" w:name="_heading=h.3ykjljbnqjnl" w:id="9"/>
      <w:bookmarkEnd w:id="9"/>
      <w:r w:rsidDel="00000000" w:rsidR="00000000" w:rsidRPr="00000000">
        <w:rPr>
          <w:rFonts w:ascii="Arial" w:cs="Arial" w:eastAsia="Arial" w:hAnsi="Arial"/>
          <w:color w:val="000000"/>
          <w:sz w:val="24"/>
          <w:szCs w:val="24"/>
          <w:rtl w:val="0"/>
        </w:rPr>
        <w:t xml:space="preserve"> Secondment Charges.</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709"/>
        </w:tabs>
        <w:spacing w:after="120" w:before="120" w:line="240" w:lineRule="auto"/>
        <w:ind w:left="1134" w:firstLine="0"/>
        <w:rPr>
          <w:rFonts w:ascii="Arial Bold" w:cs="Arial Bold" w:eastAsia="Arial Bold" w:hAnsi="Arial Bold"/>
          <w:b w:val="1"/>
          <w:smallCaps w:val="1"/>
          <w:highlight w:val="yellow"/>
        </w:rPr>
      </w:pPr>
      <w:bookmarkStart w:colFirst="0" w:colLast="0" w:name="_heading=h.3dy6vkm" w:id="10"/>
      <w:bookmarkEnd w:id="10"/>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0"/>
        </w:tabs>
        <w:spacing w:after="240" w:before="240" w:line="240" w:lineRule="auto"/>
        <w:ind w:left="644"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0"/>
        </w:tabs>
        <w:spacing w:after="240" w:before="240" w:line="240" w:lineRule="auto"/>
        <w:ind w:left="644"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0"/>
        </w:tabs>
        <w:spacing w:after="240" w:before="240" w:line="240" w:lineRule="auto"/>
        <w:ind w:left="644"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3A">
      <w:pPr>
        <w:spacing w:after="240" w:before="240" w:lineRule="auto"/>
        <w:jc w:val="both"/>
        <w:rPr>
          <w:rFonts w:ascii="Arial" w:cs="Arial" w:eastAsia="Arial" w:hAnsi="Arial"/>
          <w:sz w:val="24"/>
          <w:szCs w:val="24"/>
        </w:rPr>
      </w:pPr>
      <w:r w:rsidDel="00000000" w:rsidR="00000000" w:rsidRPr="00000000">
        <w:rPr>
          <w:rFonts w:ascii="Arial" w:cs="Arial" w:eastAsia="Arial" w:hAnsi="Arial"/>
          <w:b w:val="1"/>
          <w:sz w:val="36"/>
          <w:szCs w:val="36"/>
          <w:rtl w:val="0"/>
        </w:rPr>
        <w:t xml:space="preserve">Annex 1: Rates and Prices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B">
      <w:pPr>
        <w:spacing w:after="240" w:befor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1: Time and Materials</w:t>
      </w:r>
    </w:p>
    <w:p w:rsidR="00000000" w:rsidDel="00000000" w:rsidP="00000000" w:rsidRDefault="00000000" w:rsidRPr="00000000" w14:paraId="0000003D">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 its Sub-Contractor) shall not be entitled to include any uplift for risks or contingencies within its rates.</w:t>
      </w:r>
    </w:p>
    <w:p w:rsidR="00000000" w:rsidDel="00000000" w:rsidP="00000000" w:rsidRDefault="00000000" w:rsidRPr="00000000" w14:paraId="0000003E">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Charges using the Time and Materials Pricing Mechanism shall be calculated with reference to the Hourly Rates set out in the table below.</w:t>
      </w:r>
    </w:p>
    <w:p w:rsidR="00000000" w:rsidDel="00000000" w:rsidP="00000000" w:rsidRDefault="00000000" w:rsidRPr="00000000" w14:paraId="0000003F">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p>
    <w:tbl>
      <w:tblPr>
        <w:tblStyle w:val="Table1"/>
        <w:tblW w:w="8637.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80"/>
        <w:gridCol w:w="1422"/>
        <w:gridCol w:w="1134"/>
        <w:gridCol w:w="1701"/>
        <w:tblGridChange w:id="0">
          <w:tblGrid>
            <w:gridCol w:w="4380"/>
            <w:gridCol w:w="1422"/>
            <w:gridCol w:w="1134"/>
            <w:gridCol w:w="1701"/>
          </w:tblGrid>
        </w:tblGridChange>
      </w:tblGrid>
      <w:tr>
        <w:trPr>
          <w:cantSplit w:val="0"/>
          <w:trHeight w:val="500" w:hRule="atLeast"/>
          <w:tblHeader w:val="0"/>
        </w:trPr>
        <w:tc>
          <w:tcPr>
            <w:tcBorders>
              <w:top w:color="808080" w:space="0" w:sz="8" w:val="single"/>
              <w:left w:color="808080" w:space="0" w:sz="8" w:val="single"/>
              <w:bottom w:color="808080" w:space="0" w:sz="8" w:val="single"/>
              <w:right w:color="808080" w:space="0" w:sz="8" w:val="single"/>
            </w:tcBorders>
            <w:shd w:fill="548dd4" w:val="clear"/>
            <w:tcMar>
              <w:top w:w="100.0" w:type="dxa"/>
              <w:left w:w="100.0" w:type="dxa"/>
              <w:bottom w:w="100.0" w:type="dxa"/>
              <w:right w:w="100.0" w:type="dxa"/>
            </w:tcMar>
          </w:tcPr>
          <w:p w:rsidR="00000000" w:rsidDel="00000000" w:rsidP="00000000" w:rsidRDefault="00000000" w:rsidRPr="00000000" w14:paraId="00000040">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Staff - Grade Band</w:t>
            </w:r>
          </w:p>
        </w:tc>
        <w:tc>
          <w:tcPr>
            <w:tcBorders>
              <w:top w:color="808080" w:space="0" w:sz="8" w:val="single"/>
              <w:left w:color="000000" w:space="0" w:sz="0" w:val="nil"/>
              <w:bottom w:color="808080" w:space="0" w:sz="8" w:val="single"/>
              <w:right w:color="000000" w:space="0" w:sz="4" w:val="single"/>
            </w:tcBorders>
            <w:shd w:fill="548dd4" w:val="clear"/>
          </w:tcPr>
          <w:p w:rsidR="00000000" w:rsidDel="00000000" w:rsidP="00000000" w:rsidRDefault="00000000" w:rsidRPr="00000000" w14:paraId="00000041">
            <w:pPr>
              <w:spacing w:after="240" w:before="240" w:lineRule="auto"/>
              <w:rPr>
                <w:sz w:val="24"/>
                <w:szCs w:val="24"/>
              </w:rPr>
            </w:pPr>
            <w:r w:rsidDel="00000000" w:rsidR="00000000" w:rsidRPr="00000000">
              <w:rPr>
                <w:rFonts w:ascii="Arial" w:cs="Arial" w:eastAsia="Arial" w:hAnsi="Arial"/>
                <w:b w:val="1"/>
                <w:sz w:val="24"/>
                <w:szCs w:val="24"/>
                <w:rtl w:val="0"/>
              </w:rPr>
              <w:t xml:space="preserve">Hourly Rate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548dd4" w:val="clear"/>
            <w:tcMar>
              <w:top w:w="100.0" w:type="dxa"/>
              <w:left w:w="100.0" w:type="dxa"/>
              <w:bottom w:w="100.0" w:type="dxa"/>
              <w:right w:w="100.0" w:type="dxa"/>
            </w:tcMar>
          </w:tcPr>
          <w:p w:rsidR="00000000" w:rsidDel="00000000" w:rsidP="00000000" w:rsidRDefault="00000000" w:rsidRPr="00000000" w14:paraId="00000042">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c>
          <w:tcPr>
            <w:tcBorders>
              <w:top w:color="808080" w:space="0" w:sz="8" w:val="single"/>
              <w:left w:color="000000" w:space="0" w:sz="4" w:val="single"/>
              <w:bottom w:color="808080" w:space="0" w:sz="8" w:val="single"/>
              <w:right w:color="808080" w:space="0" w:sz="8" w:val="single"/>
            </w:tcBorders>
            <w:shd w:fill="548dd4" w:val="clear"/>
          </w:tcPr>
          <w:p w:rsidR="00000000" w:rsidDel="00000000" w:rsidP="00000000" w:rsidRDefault="00000000" w:rsidRPr="00000000" w14:paraId="00000043">
            <w:pPr>
              <w:spacing w:after="240" w:before="240" w:lineRule="auto"/>
              <w:rPr>
                <w:sz w:val="24"/>
                <w:szCs w:val="24"/>
              </w:rPr>
            </w:pPr>
            <w:r w:rsidDel="00000000" w:rsidR="00000000" w:rsidRPr="00000000">
              <w:rPr>
                <w:rFonts w:ascii="Arial" w:cs="Arial" w:eastAsia="Arial" w:hAnsi="Arial"/>
                <w:b w:val="1"/>
                <w:sz w:val="24"/>
                <w:szCs w:val="24"/>
                <w:rtl w:val="0"/>
              </w:rPr>
              <w:t xml:space="preserve">Monthly Rate (£)</w:t>
            </w:r>
            <w:r w:rsidDel="00000000" w:rsidR="00000000" w:rsidRPr="00000000">
              <w:rPr>
                <w:rtl w:val="0"/>
              </w:rPr>
            </w:r>
          </w:p>
        </w:tc>
      </w:tr>
      <w:tr>
        <w:trPr>
          <w:cantSplit w:val="0"/>
          <w:trHeight w:val="500" w:hRule="atLeast"/>
          <w:tblHeader w:val="0"/>
        </w:trPr>
        <w:tc>
          <w:tcPr>
            <w:tcBorders>
              <w:top w:color="000000" w:space="0" w:sz="0" w:val="nil"/>
              <w:left w:color="808080" w:space="0" w:sz="8" w:val="single"/>
              <w:bottom w:color="808080" w:space="0" w:sz="8" w:val="single"/>
              <w:right w:color="808080" w:space="0" w:sz="8" w:val="single"/>
            </w:tcBorders>
            <w:tcMar>
              <w:top w:w="100.0" w:type="dxa"/>
              <w:left w:w="100.0" w:type="dxa"/>
              <w:bottom w:w="100.0" w:type="dxa"/>
              <w:right w:w="100.0" w:type="dxa"/>
            </w:tcMar>
          </w:tcPr>
          <w:p w:rsidR="00000000" w:rsidDel="00000000" w:rsidP="00000000" w:rsidRDefault="00000000" w:rsidRPr="00000000" w14:paraId="00000044">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 Partner</w:t>
            </w:r>
          </w:p>
        </w:tc>
        <w:tc>
          <w:tcPr>
            <w:tcBorders>
              <w:top w:color="000000" w:space="0" w:sz="0" w:val="nil"/>
              <w:left w:color="000000" w:space="0" w:sz="0" w:val="nil"/>
              <w:bottom w:color="808080" w:space="0" w:sz="8" w:val="single"/>
              <w:right w:color="000000" w:space="0" w:sz="4" w:val="single"/>
            </w:tcBorders>
          </w:tcPr>
          <w:p w:rsidR="00000000" w:rsidDel="00000000" w:rsidP="00000000" w:rsidRDefault="00000000" w:rsidRPr="00000000" w14:paraId="00000045">
            <w:pPr>
              <w:spacing w:after="240" w:before="240" w:lineRule="auto"/>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46">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4" w:val="single"/>
              <w:bottom w:color="808080" w:space="0" w:sz="8" w:val="single"/>
              <w:right w:color="808080" w:space="0" w:sz="8" w:val="single"/>
            </w:tcBorders>
          </w:tcPr>
          <w:p w:rsidR="00000000" w:rsidDel="00000000" w:rsidP="00000000" w:rsidRDefault="00000000" w:rsidRPr="00000000" w14:paraId="00000047">
            <w:pPr>
              <w:spacing w:after="240" w:before="240" w:lineRule="auto"/>
              <w:rPr>
                <w:sz w:val="24"/>
                <w:szCs w:val="24"/>
              </w:rPr>
            </w:pPr>
            <w:r w:rsidDel="00000000" w:rsidR="00000000" w:rsidRPr="00000000">
              <w:rPr>
                <w:rtl w:val="0"/>
              </w:rPr>
            </w:r>
          </w:p>
        </w:tc>
      </w:tr>
      <w:tr>
        <w:trPr>
          <w:cantSplit w:val="0"/>
          <w:trHeight w:val="500" w:hRule="atLeast"/>
          <w:tblHeader w:val="0"/>
        </w:trPr>
        <w:tc>
          <w:tcPr>
            <w:tcBorders>
              <w:top w:color="000000" w:space="0" w:sz="0" w:val="nil"/>
              <w:left w:color="808080" w:space="0" w:sz="8" w:val="single"/>
              <w:bottom w:color="808080" w:space="0" w:sz="8" w:val="single"/>
              <w:right w:color="808080" w:space="0" w:sz="8" w:val="single"/>
            </w:tcBorders>
            <w:tcMar>
              <w:top w:w="100.0" w:type="dxa"/>
              <w:left w:w="100.0" w:type="dxa"/>
              <w:bottom w:w="100.0" w:type="dxa"/>
              <w:right w:w="100.0" w:type="dxa"/>
            </w:tcMar>
          </w:tcPr>
          <w:p w:rsidR="00000000" w:rsidDel="00000000" w:rsidP="00000000" w:rsidRDefault="00000000" w:rsidRPr="00000000" w14:paraId="00000048">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 Senior Solicitor, Senior Associate</w:t>
            </w:r>
          </w:p>
        </w:tc>
        <w:tc>
          <w:tcPr>
            <w:tcBorders>
              <w:top w:color="000000" w:space="0" w:sz="0" w:val="nil"/>
              <w:left w:color="000000" w:space="0" w:sz="0" w:val="nil"/>
              <w:bottom w:color="808080" w:space="0" w:sz="8" w:val="single"/>
              <w:right w:color="000000" w:space="0" w:sz="4" w:val="single"/>
            </w:tcBorders>
          </w:tcPr>
          <w:p w:rsidR="00000000" w:rsidDel="00000000" w:rsidP="00000000" w:rsidRDefault="00000000" w:rsidRPr="00000000" w14:paraId="00000049">
            <w:pPr>
              <w:spacing w:after="240" w:before="240" w:lineRule="auto"/>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4A">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4" w:val="single"/>
              <w:bottom w:color="808080" w:space="0" w:sz="8" w:val="single"/>
              <w:right w:color="808080" w:space="0" w:sz="8" w:val="single"/>
            </w:tcBorders>
          </w:tcPr>
          <w:p w:rsidR="00000000" w:rsidDel="00000000" w:rsidP="00000000" w:rsidRDefault="00000000" w:rsidRPr="00000000" w14:paraId="0000004B">
            <w:pPr>
              <w:spacing w:after="240" w:before="240" w:lineRule="auto"/>
              <w:rPr>
                <w:sz w:val="24"/>
                <w:szCs w:val="24"/>
              </w:rPr>
            </w:pPr>
            <w:r w:rsidDel="00000000" w:rsidR="00000000" w:rsidRPr="00000000">
              <w:rPr>
                <w:rtl w:val="0"/>
              </w:rPr>
            </w:r>
          </w:p>
        </w:tc>
      </w:tr>
      <w:tr>
        <w:trPr>
          <w:cantSplit w:val="0"/>
          <w:trHeight w:val="500" w:hRule="atLeast"/>
          <w:tblHeader w:val="0"/>
        </w:trPr>
        <w:tc>
          <w:tcPr>
            <w:tcBorders>
              <w:top w:color="000000" w:space="0" w:sz="0" w:val="nil"/>
              <w:left w:color="808080" w:space="0" w:sz="8" w:val="single"/>
              <w:bottom w:color="808080" w:space="0" w:sz="8" w:val="single"/>
              <w:right w:color="808080" w:space="0" w:sz="8" w:val="single"/>
            </w:tcBorders>
            <w:tcMar>
              <w:top w:w="100.0" w:type="dxa"/>
              <w:left w:w="100.0" w:type="dxa"/>
              <w:bottom w:w="100.0" w:type="dxa"/>
              <w:right w:w="100.0" w:type="dxa"/>
            </w:tcMar>
          </w:tcPr>
          <w:p w:rsidR="00000000" w:rsidDel="00000000" w:rsidP="00000000" w:rsidRDefault="00000000" w:rsidRPr="00000000" w14:paraId="0000004C">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 Solicitor, Associate</w:t>
            </w:r>
          </w:p>
        </w:tc>
        <w:tc>
          <w:tcPr>
            <w:tcBorders>
              <w:top w:color="000000" w:space="0" w:sz="0" w:val="nil"/>
              <w:left w:color="000000" w:space="0" w:sz="0" w:val="nil"/>
              <w:bottom w:color="808080" w:space="0" w:sz="8" w:val="single"/>
              <w:right w:color="000000" w:space="0" w:sz="4" w:val="single"/>
            </w:tcBorders>
          </w:tcPr>
          <w:p w:rsidR="00000000" w:rsidDel="00000000" w:rsidP="00000000" w:rsidRDefault="00000000" w:rsidRPr="00000000" w14:paraId="0000004D">
            <w:pPr>
              <w:spacing w:after="240" w:before="240" w:lineRule="auto"/>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4E">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4" w:val="single"/>
              <w:bottom w:color="808080" w:space="0" w:sz="8" w:val="single"/>
              <w:right w:color="808080" w:space="0" w:sz="8" w:val="single"/>
            </w:tcBorders>
          </w:tcPr>
          <w:p w:rsidR="00000000" w:rsidDel="00000000" w:rsidP="00000000" w:rsidRDefault="00000000" w:rsidRPr="00000000" w14:paraId="0000004F">
            <w:pPr>
              <w:spacing w:after="240" w:before="240" w:lineRule="auto"/>
              <w:rPr>
                <w:sz w:val="24"/>
                <w:szCs w:val="24"/>
              </w:rPr>
            </w:pPr>
            <w:r w:rsidDel="00000000" w:rsidR="00000000" w:rsidRPr="00000000">
              <w:rPr>
                <w:rtl w:val="0"/>
              </w:rPr>
            </w:r>
          </w:p>
        </w:tc>
      </w:tr>
      <w:tr>
        <w:trPr>
          <w:cantSplit w:val="0"/>
          <w:trHeight w:val="785" w:hRule="atLeast"/>
          <w:tblHeader w:val="0"/>
        </w:trPr>
        <w:tc>
          <w:tcPr>
            <w:tcBorders>
              <w:top w:color="000000" w:space="0" w:sz="0" w:val="nil"/>
              <w:left w:color="808080" w:space="0" w:sz="8" w:val="single"/>
              <w:bottom w:color="808080" w:space="0" w:sz="8" w:val="single"/>
              <w:right w:color="808080" w:space="0" w:sz="8" w:val="single"/>
            </w:tcBorders>
            <w:tcMar>
              <w:top w:w="100.0" w:type="dxa"/>
              <w:left w:w="100.0" w:type="dxa"/>
              <w:bottom w:w="100.0" w:type="dxa"/>
              <w:right w:w="100.0" w:type="dxa"/>
            </w:tcMar>
          </w:tcPr>
          <w:p w:rsidR="00000000" w:rsidDel="00000000" w:rsidP="00000000" w:rsidRDefault="00000000" w:rsidRPr="00000000" w14:paraId="00000050">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 – Newly Qualified Solicitor/ Associate, Junior Solicitor/Associate</w:t>
            </w:r>
          </w:p>
        </w:tc>
        <w:tc>
          <w:tcPr>
            <w:tcBorders>
              <w:top w:color="000000" w:space="0" w:sz="0" w:val="nil"/>
              <w:left w:color="000000" w:space="0" w:sz="0" w:val="nil"/>
              <w:bottom w:color="808080" w:space="0" w:sz="8" w:val="single"/>
              <w:right w:color="000000" w:space="0" w:sz="4" w:val="single"/>
            </w:tcBorders>
          </w:tcPr>
          <w:p w:rsidR="00000000" w:rsidDel="00000000" w:rsidP="00000000" w:rsidRDefault="00000000" w:rsidRPr="00000000" w14:paraId="00000051">
            <w:pPr>
              <w:spacing w:after="240" w:before="240" w:lineRule="auto"/>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2">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4" w:val="single"/>
              <w:bottom w:color="808080" w:space="0" w:sz="8" w:val="single"/>
              <w:right w:color="808080" w:space="0" w:sz="8" w:val="single"/>
            </w:tcBorders>
          </w:tcPr>
          <w:p w:rsidR="00000000" w:rsidDel="00000000" w:rsidP="00000000" w:rsidRDefault="00000000" w:rsidRPr="00000000" w14:paraId="00000053">
            <w:pPr>
              <w:spacing w:after="240" w:before="240" w:lineRule="auto"/>
              <w:rPr>
                <w:sz w:val="24"/>
                <w:szCs w:val="24"/>
              </w:rPr>
            </w:pPr>
            <w:r w:rsidDel="00000000" w:rsidR="00000000" w:rsidRPr="00000000">
              <w:rPr>
                <w:rtl w:val="0"/>
              </w:rPr>
            </w:r>
          </w:p>
        </w:tc>
      </w:tr>
      <w:tr>
        <w:trPr>
          <w:cantSplit w:val="0"/>
          <w:trHeight w:val="500" w:hRule="atLeast"/>
          <w:tblHeader w:val="0"/>
        </w:trPr>
        <w:tc>
          <w:tcPr>
            <w:tcBorders>
              <w:top w:color="000000" w:space="0" w:sz="0" w:val="nil"/>
              <w:left w:color="808080" w:space="0" w:sz="8" w:val="single"/>
              <w:bottom w:color="808080" w:space="0" w:sz="8" w:val="single"/>
              <w:right w:color="808080" w:space="0" w:sz="8" w:val="single"/>
            </w:tcBorders>
            <w:tcMar>
              <w:top w:w="100.0" w:type="dxa"/>
              <w:left w:w="100.0" w:type="dxa"/>
              <w:bottom w:w="100.0" w:type="dxa"/>
              <w:right w:w="100.0" w:type="dxa"/>
            </w:tcMar>
          </w:tcPr>
          <w:p w:rsidR="00000000" w:rsidDel="00000000" w:rsidP="00000000" w:rsidRDefault="00000000" w:rsidRPr="00000000" w14:paraId="00000054">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 Trainee</w:t>
            </w:r>
          </w:p>
        </w:tc>
        <w:tc>
          <w:tcPr>
            <w:tcBorders>
              <w:top w:color="000000" w:space="0" w:sz="0" w:val="nil"/>
              <w:left w:color="000000" w:space="0" w:sz="0" w:val="nil"/>
              <w:bottom w:color="808080" w:space="0" w:sz="8" w:val="single"/>
              <w:right w:color="000000" w:space="0" w:sz="4" w:val="single"/>
            </w:tcBorders>
          </w:tcPr>
          <w:p w:rsidR="00000000" w:rsidDel="00000000" w:rsidP="00000000" w:rsidRDefault="00000000" w:rsidRPr="00000000" w14:paraId="00000055">
            <w:pPr>
              <w:spacing w:after="240" w:before="240" w:lineRule="auto"/>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6">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4" w:val="single"/>
              <w:bottom w:color="808080" w:space="0" w:sz="8" w:val="single"/>
              <w:right w:color="808080" w:space="0" w:sz="8" w:val="single"/>
            </w:tcBorders>
          </w:tcPr>
          <w:p w:rsidR="00000000" w:rsidDel="00000000" w:rsidP="00000000" w:rsidRDefault="00000000" w:rsidRPr="00000000" w14:paraId="00000057">
            <w:pPr>
              <w:spacing w:after="240" w:before="240" w:lineRule="auto"/>
              <w:rPr>
                <w:sz w:val="24"/>
                <w:szCs w:val="24"/>
              </w:rPr>
            </w:pPr>
            <w:r w:rsidDel="00000000" w:rsidR="00000000" w:rsidRPr="00000000">
              <w:rPr>
                <w:rtl w:val="0"/>
              </w:rPr>
            </w:r>
          </w:p>
        </w:tc>
      </w:tr>
      <w:tr>
        <w:trPr>
          <w:cantSplit w:val="0"/>
          <w:trHeight w:val="500" w:hRule="atLeast"/>
          <w:tblHeader w:val="0"/>
        </w:trPr>
        <w:tc>
          <w:tcPr>
            <w:tcBorders>
              <w:top w:color="000000" w:space="0" w:sz="0" w:val="nil"/>
              <w:left w:color="808080" w:space="0" w:sz="8" w:val="single"/>
              <w:bottom w:color="808080" w:space="0" w:sz="8" w:val="single"/>
              <w:right w:color="808080" w:space="0" w:sz="8" w:val="single"/>
            </w:tcBorders>
            <w:tcMar>
              <w:top w:w="100.0" w:type="dxa"/>
              <w:left w:w="100.0" w:type="dxa"/>
              <w:bottom w:w="100.0" w:type="dxa"/>
              <w:right w:w="100.0" w:type="dxa"/>
            </w:tcMar>
          </w:tcPr>
          <w:p w:rsidR="00000000" w:rsidDel="00000000" w:rsidP="00000000" w:rsidRDefault="00000000" w:rsidRPr="00000000" w14:paraId="00000058">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 Paralegal, Legal Assistant</w:t>
            </w:r>
          </w:p>
        </w:tc>
        <w:tc>
          <w:tcPr>
            <w:tcBorders>
              <w:top w:color="000000" w:space="0" w:sz="0" w:val="nil"/>
              <w:left w:color="000000" w:space="0" w:sz="0" w:val="nil"/>
              <w:bottom w:color="808080" w:space="0" w:sz="8" w:val="single"/>
              <w:right w:color="000000" w:space="0" w:sz="4" w:val="single"/>
            </w:tcBorders>
          </w:tcPr>
          <w:p w:rsidR="00000000" w:rsidDel="00000000" w:rsidP="00000000" w:rsidRDefault="00000000" w:rsidRPr="00000000" w14:paraId="00000059">
            <w:pPr>
              <w:spacing w:after="240" w:before="240" w:lineRule="auto"/>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A">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4" w:val="single"/>
              <w:bottom w:color="808080" w:space="0" w:sz="8" w:val="single"/>
              <w:right w:color="808080" w:space="0" w:sz="8" w:val="single"/>
            </w:tcBorders>
          </w:tcPr>
          <w:p w:rsidR="00000000" w:rsidDel="00000000" w:rsidP="00000000" w:rsidRDefault="00000000" w:rsidRPr="00000000" w14:paraId="0000005B">
            <w:pPr>
              <w:spacing w:after="240" w:before="240" w:lineRule="auto"/>
              <w:rPr>
                <w:sz w:val="24"/>
                <w:szCs w:val="24"/>
              </w:rPr>
            </w:pPr>
            <w:r w:rsidDel="00000000" w:rsidR="00000000" w:rsidRPr="00000000">
              <w:rPr>
                <w:rtl w:val="0"/>
              </w:rPr>
            </w:r>
          </w:p>
        </w:tc>
      </w:tr>
      <w:tr>
        <w:trPr>
          <w:cantSplit w:val="0"/>
          <w:trHeight w:val="500" w:hRule="atLeast"/>
          <w:tblHeader w:val="0"/>
        </w:trPr>
        <w:tc>
          <w:tcPr>
            <w:tcBorders>
              <w:top w:color="000000" w:space="0" w:sz="0" w:val="nil"/>
              <w:left w:color="808080" w:space="0" w:sz="8" w:val="single"/>
              <w:bottom w:color="808080" w:space="0" w:sz="8" w:val="single"/>
              <w:right w:color="808080" w:space="0" w:sz="8" w:val="single"/>
            </w:tcBorders>
            <w:tcMar>
              <w:top w:w="100.0" w:type="dxa"/>
              <w:left w:w="100.0" w:type="dxa"/>
              <w:bottom w:w="100.0" w:type="dxa"/>
              <w:right w:w="100.0" w:type="dxa"/>
            </w:tcMar>
          </w:tcPr>
          <w:p w:rsidR="00000000" w:rsidDel="00000000" w:rsidP="00000000" w:rsidRDefault="00000000" w:rsidRPr="00000000" w14:paraId="0000005C">
            <w:pPr>
              <w:spacing w:after="240" w:before="240" w:lineRule="auto"/>
              <w:rPr>
                <w:rFonts w:ascii="Arial" w:cs="Arial" w:eastAsia="Arial" w:hAnsi="Arial"/>
                <w:b w:val="1"/>
                <w:sz w:val="24"/>
                <w:szCs w:val="24"/>
              </w:rPr>
            </w:pPr>
            <w:r w:rsidDel="00000000" w:rsidR="00000000" w:rsidRPr="00000000">
              <w:rPr>
                <w:b w:val="1"/>
                <w:sz w:val="24"/>
                <w:szCs w:val="24"/>
                <w:rtl w:val="0"/>
              </w:rPr>
              <w:t xml:space="preserve">7- </w:t>
            </w:r>
            <w:r w:rsidDel="00000000" w:rsidR="00000000" w:rsidRPr="00000000">
              <w:rPr>
                <w:rFonts w:ascii="Arial" w:cs="Arial" w:eastAsia="Arial" w:hAnsi="Arial"/>
                <w:b w:val="1"/>
                <w:sz w:val="24"/>
                <w:szCs w:val="24"/>
                <w:rtl w:val="0"/>
              </w:rPr>
              <w:t xml:space="preserve">Legal Project Manager</w:t>
            </w:r>
          </w:p>
        </w:tc>
        <w:tc>
          <w:tcPr>
            <w:tcBorders>
              <w:top w:color="000000" w:space="0" w:sz="0" w:val="nil"/>
              <w:left w:color="000000" w:space="0" w:sz="0" w:val="nil"/>
              <w:bottom w:color="808080" w:space="0" w:sz="8" w:val="single"/>
              <w:right w:color="000000" w:space="0" w:sz="4" w:val="single"/>
            </w:tcBorders>
          </w:tcPr>
          <w:p w:rsidR="00000000" w:rsidDel="00000000" w:rsidP="00000000" w:rsidRDefault="00000000" w:rsidRPr="00000000" w14:paraId="0000005D">
            <w:pPr>
              <w:spacing w:after="240" w:before="240" w:lineRule="auto"/>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E">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0" w:val="nil"/>
              <w:left w:color="000000" w:space="0" w:sz="4" w:val="single"/>
              <w:bottom w:color="808080" w:space="0" w:sz="8" w:val="single"/>
              <w:right w:color="808080" w:space="0" w:sz="8" w:val="single"/>
            </w:tcBorders>
          </w:tcPr>
          <w:p w:rsidR="00000000" w:rsidDel="00000000" w:rsidP="00000000" w:rsidRDefault="00000000" w:rsidRPr="00000000" w14:paraId="0000005F">
            <w:pPr>
              <w:spacing w:after="240" w:before="240" w:lineRule="auto"/>
              <w:rPr>
                <w:sz w:val="24"/>
                <w:szCs w:val="24"/>
              </w:rPr>
            </w:pPr>
            <w:r w:rsidDel="00000000" w:rsidR="00000000" w:rsidRPr="00000000">
              <w:rPr>
                <w:rtl w:val="0"/>
              </w:rPr>
            </w:r>
          </w:p>
        </w:tc>
      </w:tr>
    </w:tbl>
    <w:p w:rsidR="00000000" w:rsidDel="00000000" w:rsidP="00000000" w:rsidRDefault="00000000" w:rsidRPr="00000000" w14:paraId="00000060">
      <w:pPr>
        <w:rPr>
          <w:rFonts w:ascii="Arial" w:cs="Arial" w:eastAsia="Arial" w:hAnsi="Arial"/>
          <w:b w:val="1"/>
          <w:sz w:val="24"/>
          <w:szCs w:val="24"/>
        </w:rPr>
      </w:pPr>
      <w:bookmarkStart w:colFirst="0" w:colLast="0" w:name="_heading=h.4d34og8" w:id="11"/>
      <w:bookmarkEnd w:id="11"/>
      <w:r w:rsidDel="00000000" w:rsidR="00000000" w:rsidRPr="00000000">
        <w:rPr>
          <w:rtl w:val="0"/>
        </w:rPr>
        <w:t xml:space="preserve">                                                                       </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8">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B">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3F6DAE"/>
    <w:pPr>
      <w:ind w:left="720"/>
      <w:contextualSpacing w:val="1"/>
    </w:pPr>
  </w:style>
  <w:style w:type="table" w:styleId="a4"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a5" w:customSty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v9xUtPPkgrstKnRr2HemjC7xwg==">AMUW2mVwqlhXEy9cWdaEk/G7iQWPqB1aXpmr2FtNBsF63wm5a2AtP3+laNrw+KzsJC1SRu//cAWjv9uxtZAAFIYl+z6NugBUf9efpo08awMIzUKppuzH9Nd4TPvt76bUTBQgxA260le1o6FJftzRJKO/cJre0q9zp5iY+EfmsK4go2dUj5SZTlu9nZfWtYTyzJ36xu5rXDrhoqhK2/4vOInK2coi9W3e4KlQBwyi++XCcSbkXp/X6y1KjQkZxkRpZd29Rt4Fn4HtgR4ROuapfj3w9WpKEQg6CX+XoUHnFw1bXadHpXybVxf3OX3rYQJ7hUEgtK5rS/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2022-03-01T10:37:00Z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